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pStyle w:val="2"/>
        <w:rPr>
          <w:rFonts w:ascii="黑体" w:eastAsia="黑体"/>
          <w:sz w:val="72"/>
          <w:szCs w:val="72"/>
        </w:rPr>
      </w:pPr>
    </w:p>
    <w:p>
      <w:pPr>
        <w:pStyle w:val="2"/>
        <w:rPr>
          <w:rFonts w:ascii="黑体" w:eastAsia="黑体"/>
          <w:sz w:val="72"/>
          <w:szCs w:val="72"/>
        </w:rPr>
      </w:pPr>
    </w:p>
    <w:p>
      <w:pPr>
        <w:pStyle w:val="2"/>
        <w:rPr>
          <w:rFonts w:ascii="黑体" w:eastAsia="黑体"/>
          <w:sz w:val="72"/>
          <w:szCs w:val="72"/>
        </w:rPr>
      </w:pPr>
    </w:p>
    <w:p>
      <w:pPr>
        <w:jc w:val="center"/>
        <w:rPr>
          <w:rFonts w:ascii="黑体" w:eastAsia="黑体"/>
          <w:sz w:val="72"/>
          <w:szCs w:val="72"/>
        </w:rPr>
      </w:pPr>
      <w:r>
        <w:rPr>
          <w:rFonts w:hint="eastAsia" w:ascii="黑体" w:eastAsia="黑体"/>
          <w:sz w:val="72"/>
          <w:szCs w:val="72"/>
        </w:rPr>
        <w:t>中共北京市委机构编制委员会办公室</w:t>
      </w: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pStyle w:val="2"/>
        <w:rPr>
          <w:rFonts w:ascii="黑体" w:eastAsia="黑体"/>
          <w:sz w:val="52"/>
          <w:szCs w:val="52"/>
        </w:rPr>
      </w:pPr>
    </w:p>
    <w:p>
      <w:pPr>
        <w:pStyle w:val="2"/>
        <w:ind w:firstLine="0" w:firstLineChars="0"/>
        <w:rPr>
          <w:rFonts w:ascii="黑体" w:eastAsia="黑体"/>
          <w:sz w:val="52"/>
          <w:szCs w:val="52"/>
        </w:rPr>
      </w:pPr>
    </w:p>
    <w:p>
      <w:pPr>
        <w:pStyle w:val="2"/>
        <w:spacing w:line="560" w:lineRule="exact"/>
        <w:ind w:firstLine="0" w:firstLineChars="0"/>
        <w:rPr>
          <w:rFonts w:ascii="黑体" w:eastAsia="黑体"/>
          <w:sz w:val="52"/>
          <w:szCs w:val="52"/>
        </w:rPr>
      </w:pPr>
    </w:p>
    <w:p>
      <w:pPr>
        <w:pStyle w:val="2"/>
        <w:spacing w:line="560" w:lineRule="exact"/>
        <w:ind w:firstLine="0" w:firstLineChars="0"/>
        <w:rPr>
          <w:rFonts w:ascii="黑体" w:eastAsia="黑体"/>
          <w:sz w:val="52"/>
          <w:szCs w:val="52"/>
        </w:rPr>
      </w:pPr>
      <w:bookmarkStart w:id="0" w:name="_GoBack"/>
      <w:bookmarkEnd w:id="0"/>
    </w:p>
    <w:p>
      <w:pPr>
        <w:spacing w:line="56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24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892"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一、部门基本情况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中共北京市委机构编制委员会办公室（简称市委编办）是中共北京市委机构编制委员会的常设办事机构，在市委编委的领导下负责本市行政管理体制和机构改革以及机构编制日常管理工作，列入市委工作机构序列，归</w:t>
      </w:r>
      <w:r>
        <w:rPr>
          <w:rFonts w:hint="eastAsia" w:ascii="仿宋_GB2312" w:eastAsia="仿宋_GB2312"/>
          <w:b w:val="0"/>
          <w:bCs w:val="0"/>
          <w:color w:val="auto"/>
          <w:sz w:val="28"/>
          <w:szCs w:val="28"/>
        </w:rPr>
        <w:t>口</w:t>
      </w:r>
      <w:r>
        <w:rPr>
          <w:rFonts w:hint="eastAsia" w:ascii="仿宋_GB2312" w:eastAsia="仿宋_GB2312"/>
          <w:sz w:val="28"/>
          <w:szCs w:val="28"/>
        </w:rPr>
        <w:t>市委组织部管理。市委编办部门预算单位包括市委编办（本级）、市委编办电子政务中心共2家单位。</w:t>
      </w:r>
    </w:p>
    <w:p>
      <w:pPr>
        <w:autoSpaceDE w:val="0"/>
        <w:autoSpaceDN w:val="0"/>
        <w:adjustRightInd w:val="0"/>
        <w:spacing w:line="580" w:lineRule="exact"/>
        <w:ind w:firstLine="560" w:firstLineChars="200"/>
        <w:jc w:val="left"/>
        <w:rPr>
          <w:rFonts w:hint="eastAsia" w:ascii="黑体" w:eastAsia="黑体"/>
          <w:b w:val="0"/>
          <w:bCs/>
          <w:sz w:val="28"/>
          <w:szCs w:val="28"/>
        </w:rPr>
      </w:pPr>
      <w:r>
        <w:rPr>
          <w:rFonts w:hint="eastAsia" w:ascii="黑体" w:eastAsia="黑体"/>
          <w:b w:val="0"/>
          <w:bCs/>
          <w:sz w:val="28"/>
          <w:szCs w:val="28"/>
        </w:rPr>
        <w:t>二、收入支出决算总体情况说明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年度收、支总计</w:t>
      </w:r>
      <w:r>
        <w:rPr>
          <w:rFonts w:ascii="仿宋_GB2312" w:eastAsia="仿宋_GB2312"/>
          <w:sz w:val="28"/>
          <w:szCs w:val="28"/>
        </w:rPr>
        <w:t>3970.52</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rPr>
        <w:t>197.72万元，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5.24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（一）收入决算说明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本年收入合计</w:t>
      </w:r>
      <w:r>
        <w:rPr>
          <w:rFonts w:ascii="仿宋_GB2312" w:eastAsia="仿宋_GB2312"/>
          <w:sz w:val="28"/>
          <w:szCs w:val="28"/>
        </w:rPr>
        <w:t>39</w:t>
      </w:r>
      <w:r>
        <w:rPr>
          <w:rFonts w:hint="eastAsia" w:ascii="仿宋_GB2312" w:eastAsia="仿宋_GB2312"/>
          <w:sz w:val="28"/>
          <w:szCs w:val="28"/>
          <w:lang w:val="en-US" w:eastAsia="zh-CN"/>
        </w:rPr>
        <w:t>68.02</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rPr>
        <w:t>195.22万元，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5.17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39</w:t>
      </w:r>
      <w:r>
        <w:rPr>
          <w:rFonts w:hint="eastAsia" w:ascii="仿宋_GB2312" w:eastAsia="仿宋_GB2312"/>
          <w:sz w:val="28"/>
          <w:szCs w:val="28"/>
          <w:lang w:val="en-US" w:eastAsia="zh-CN"/>
        </w:rPr>
        <w:t>68.02</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rPr>
        <w:t>%。其中：一般公共预算财政拨款收入</w:t>
      </w:r>
      <w:r>
        <w:rPr>
          <w:rFonts w:ascii="仿宋_GB2312" w:eastAsia="仿宋_GB2312"/>
          <w:sz w:val="28"/>
          <w:szCs w:val="28"/>
        </w:rPr>
        <w:t>39</w:t>
      </w:r>
      <w:r>
        <w:rPr>
          <w:rFonts w:hint="eastAsia" w:ascii="仿宋_GB2312" w:eastAsia="仿宋_GB2312"/>
          <w:sz w:val="28"/>
          <w:szCs w:val="28"/>
          <w:lang w:val="en-US" w:eastAsia="zh-CN"/>
        </w:rPr>
        <w:t>68.02</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pPr>
      <w:r>
        <w:drawing>
          <wp:anchor distT="0" distB="0" distL="0" distR="0" simplePos="0" relativeHeight="251659264" behindDoc="0" locked="0" layoutInCell="1" allowOverlap="1">
            <wp:simplePos x="0" y="0"/>
            <wp:positionH relativeFrom="column">
              <wp:posOffset>3221355</wp:posOffset>
            </wp:positionH>
            <wp:positionV relativeFrom="paragraph">
              <wp:posOffset>473710</wp:posOffset>
            </wp:positionV>
            <wp:extent cx="3769995" cy="2080260"/>
            <wp:effectExtent l="0" t="0" r="1905" b="15240"/>
            <wp:wrapNone/>
            <wp:docPr id="1" name="图表 1"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color w:val="000000"/>
          <w:sz w:val="32"/>
        </w:rPr>
        <w:t>图1：收入决算</w:t>
      </w:r>
    </w:p>
    <w:p>
      <w:pPr>
        <w:jc w:val="cente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（二）支出决算说明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3786.17</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rPr>
        <w:t>156.67万元，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4.32</w:t>
      </w:r>
      <w:r>
        <w:rPr>
          <w:rFonts w:hint="eastAsia" w:ascii="仿宋_GB2312" w:eastAsia="仿宋_GB2312"/>
          <w:sz w:val="28"/>
          <w:szCs w:val="28"/>
        </w:rPr>
        <w:t>%，其中：基本支出</w:t>
      </w:r>
      <w:r>
        <w:rPr>
          <w:rFonts w:ascii="仿宋_GB2312" w:eastAsia="仿宋_GB2312"/>
          <w:sz w:val="28"/>
          <w:szCs w:val="28"/>
        </w:rPr>
        <w:t>3410.76</w:t>
      </w:r>
      <w:r>
        <w:rPr>
          <w:rFonts w:hint="eastAsia" w:ascii="仿宋_GB2312" w:eastAsia="仿宋_GB2312"/>
          <w:sz w:val="28"/>
          <w:szCs w:val="28"/>
        </w:rPr>
        <w:t>万元，占支出合计的</w:t>
      </w:r>
      <w:r>
        <w:rPr>
          <w:rFonts w:hint="eastAsia" w:ascii="仿宋_GB2312" w:eastAsia="仿宋_GB2312"/>
          <w:sz w:val="28"/>
          <w:szCs w:val="28"/>
          <w:lang w:eastAsia="zh-CN"/>
        </w:rPr>
        <w:t>90.08</w:t>
      </w:r>
      <w:r>
        <w:rPr>
          <w:rFonts w:hint="eastAsia" w:ascii="仿宋_GB2312" w:eastAsia="仿宋_GB2312"/>
          <w:sz w:val="28"/>
          <w:szCs w:val="28"/>
        </w:rPr>
        <w:t>%；项目支出</w:t>
      </w:r>
      <w:r>
        <w:rPr>
          <w:rFonts w:ascii="仿宋_GB2312" w:eastAsia="仿宋_GB2312"/>
          <w:sz w:val="28"/>
          <w:szCs w:val="28"/>
        </w:rPr>
        <w:t>375.41</w:t>
      </w:r>
      <w:r>
        <w:rPr>
          <w:rFonts w:hint="eastAsia" w:ascii="仿宋_GB2312" w:eastAsia="仿宋_GB2312"/>
          <w:sz w:val="28"/>
          <w:szCs w:val="28"/>
        </w:rPr>
        <w:t>万元，占支出合计的</w:t>
      </w:r>
      <w:r>
        <w:rPr>
          <w:rFonts w:hint="eastAsia" w:ascii="仿宋_GB2312" w:eastAsia="仿宋_GB2312"/>
          <w:sz w:val="28"/>
          <w:szCs w:val="28"/>
          <w:lang w:eastAsia="zh-CN"/>
        </w:rPr>
        <w:t>9.92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drawing>
          <wp:anchor distT="0" distB="0" distL="114300" distR="114300" simplePos="0" relativeHeight="251660288" behindDoc="0" locked="0" layoutInCell="1" allowOverlap="1">
            <wp:simplePos x="0" y="0"/>
            <wp:positionH relativeFrom="column">
              <wp:posOffset>2509520</wp:posOffset>
            </wp:positionH>
            <wp:positionV relativeFrom="paragraph">
              <wp:posOffset>517525</wp:posOffset>
            </wp:positionV>
            <wp:extent cx="3849370" cy="2310130"/>
            <wp:effectExtent l="4445" t="5080" r="13335" b="8890"/>
            <wp:wrapNone/>
            <wp:docPr id="2"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color w:val="000000"/>
          <w:sz w:val="32"/>
        </w:rPr>
        <w:t>图2：基本支出和项目支出情况</w:t>
      </w:r>
    </w:p>
    <w:p>
      <w:pPr>
        <w:jc w:val="center"/>
        <w:rPr>
          <w:rFonts w:ascii="黑体" w:eastAsia="黑体"/>
          <w:b/>
          <w:sz w:val="28"/>
          <w:szCs w:val="28"/>
        </w:rPr>
      </w:pPr>
    </w:p>
    <w:p>
      <w:pPr>
        <w:pStyle w:val="2"/>
        <w:ind w:firstLine="562"/>
        <w:rPr>
          <w:rFonts w:ascii="黑体" w:eastAsia="黑体"/>
          <w:b/>
          <w:sz w:val="28"/>
          <w:szCs w:val="28"/>
        </w:rPr>
      </w:pPr>
    </w:p>
    <w:p>
      <w:pPr>
        <w:pStyle w:val="2"/>
        <w:ind w:firstLine="562"/>
        <w:rPr>
          <w:rFonts w:ascii="黑体" w:eastAsia="黑体"/>
          <w:b/>
          <w:sz w:val="28"/>
          <w:szCs w:val="28"/>
        </w:rPr>
      </w:pP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三、财政拨款收入支出决算总体情况说明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年度财政拨款收、支总计</w:t>
      </w:r>
      <w:r>
        <w:rPr>
          <w:rFonts w:ascii="仿宋_GB2312" w:eastAsia="仿宋_GB2312"/>
          <w:sz w:val="28"/>
          <w:szCs w:val="28"/>
        </w:rPr>
        <w:t>3970.52</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rPr>
        <w:t>197.72万元，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5.24</w:t>
      </w:r>
      <w:r>
        <w:rPr>
          <w:rFonts w:hint="eastAsia" w:ascii="仿宋_GB2312" w:eastAsia="仿宋_GB2312"/>
          <w:sz w:val="28"/>
          <w:szCs w:val="28"/>
        </w:rPr>
        <w:t>%。主要原因：</w:t>
      </w:r>
      <w:r>
        <w:rPr>
          <w:rFonts w:hint="eastAsia" w:ascii="仿宋_GB2312" w:eastAsia="仿宋_GB2312"/>
          <w:sz w:val="28"/>
          <w:szCs w:val="28"/>
          <w:lang w:eastAsia="zh-CN"/>
        </w:rPr>
        <w:t>为保证工作人员数量变动等经费需求，整体增加人员经费预算数</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2024年度一般公共预算财政拨款支出3786.17万元，主要用于以下方面（按大类）：一般公共服务支出</w:t>
      </w:r>
      <w:r>
        <w:rPr>
          <w:rFonts w:hint="eastAsia" w:ascii="仿宋_GB2312" w:eastAsia="仿宋_GB2312"/>
          <w:sz w:val="28"/>
          <w:szCs w:val="28"/>
          <w:lang w:val="en-US" w:eastAsia="zh-CN"/>
        </w:rPr>
        <w:t>3130.21</w:t>
      </w:r>
      <w:r>
        <w:rPr>
          <w:rFonts w:hint="eastAsia" w:ascii="仿宋_GB2312" w:eastAsia="仿宋_GB2312"/>
          <w:sz w:val="28"/>
          <w:szCs w:val="28"/>
        </w:rPr>
        <w:t>万元，占本年财政拨款支出8</w:t>
      </w:r>
      <w:r>
        <w:rPr>
          <w:rFonts w:hint="eastAsia" w:ascii="仿宋_GB2312" w:eastAsia="仿宋_GB2312"/>
          <w:sz w:val="28"/>
          <w:szCs w:val="28"/>
          <w:lang w:val="en-US" w:eastAsia="zh-CN"/>
        </w:rPr>
        <w:t>2.67</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10.84万元,占本年财政拨款支出0.29%;</w:t>
      </w:r>
      <w:r>
        <w:rPr>
          <w:rFonts w:hint="eastAsia" w:ascii="仿宋_GB2312" w:eastAsia="仿宋_GB2312"/>
          <w:sz w:val="28"/>
          <w:szCs w:val="28"/>
        </w:rPr>
        <w:t>社会保障和就业支出</w:t>
      </w:r>
      <w:r>
        <w:rPr>
          <w:rFonts w:hint="eastAsia" w:ascii="仿宋_GB2312" w:eastAsia="仿宋_GB2312"/>
          <w:sz w:val="28"/>
          <w:szCs w:val="28"/>
          <w:lang w:val="en-US" w:eastAsia="zh-CN"/>
        </w:rPr>
        <w:t>375.37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9.92</w:t>
      </w:r>
      <w:r>
        <w:rPr>
          <w:rFonts w:hint="eastAsia" w:ascii="仿宋_GB2312" w:eastAsia="仿宋_GB2312"/>
          <w:sz w:val="28"/>
          <w:szCs w:val="28"/>
        </w:rPr>
        <w:t>%；卫生健康支出</w:t>
      </w:r>
      <w:r>
        <w:rPr>
          <w:rFonts w:hint="eastAsia" w:ascii="仿宋_GB2312" w:eastAsia="仿宋_GB2312"/>
          <w:sz w:val="28"/>
          <w:szCs w:val="28"/>
          <w:lang w:val="en-US" w:eastAsia="zh-CN"/>
        </w:rPr>
        <w:t>269.75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7.12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3358.77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3130.21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93.20%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“党委办公厅(室)及相关机构事务”202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3358.77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3130.21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93.20%</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落实政府过紧日子、厉行勤俭节约等要求，严格控制一般性支出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2、“教育支出”20</w:t>
      </w:r>
      <w:r>
        <w:rPr>
          <w:rFonts w:hint="eastAsia" w:ascii="仿宋_GB2312" w:eastAsia="仿宋_GB2312"/>
          <w:sz w:val="28"/>
          <w:szCs w:val="28"/>
          <w:lang w:val="en-US" w:eastAsia="zh-CN"/>
        </w:rPr>
        <w:t>24</w:t>
      </w:r>
      <w:r>
        <w:rPr>
          <w:rFonts w:hint="eastAsia" w:ascii="仿宋_GB2312" w:eastAsia="仿宋_GB2312"/>
          <w:sz w:val="28"/>
          <w:szCs w:val="28"/>
        </w:rPr>
        <w:t>年度年初预算13.49万元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80.36%</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“进修及培训”20</w:t>
      </w:r>
      <w:r>
        <w:rPr>
          <w:rFonts w:hint="eastAsia" w:ascii="仿宋_GB2312" w:eastAsia="仿宋_GB2312"/>
          <w:sz w:val="28"/>
          <w:szCs w:val="28"/>
          <w:lang w:val="en-US" w:eastAsia="zh-CN"/>
        </w:rPr>
        <w:t>24</w:t>
      </w:r>
      <w:r>
        <w:rPr>
          <w:rFonts w:hint="eastAsia" w:ascii="仿宋_GB2312" w:eastAsia="仿宋_GB2312"/>
          <w:sz w:val="28"/>
          <w:szCs w:val="28"/>
        </w:rPr>
        <w:t>年度年初预算13.49万元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80.36%</w:t>
      </w:r>
      <w:r>
        <w:rPr>
          <w:rFonts w:hint="eastAsia" w:ascii="仿宋_GB2312" w:eastAsia="仿宋_GB2312"/>
          <w:sz w:val="28"/>
          <w:szCs w:val="28"/>
        </w:rPr>
        <w:t>。主要原因：落实政府过紧日子、厉行勤俭节约等要求，</w:t>
      </w:r>
      <w:r>
        <w:rPr>
          <w:rFonts w:hint="eastAsia" w:ascii="仿宋_GB2312" w:eastAsia="仿宋_GB2312"/>
          <w:sz w:val="28"/>
          <w:szCs w:val="28"/>
          <w:lang w:eastAsia="zh-CN"/>
        </w:rPr>
        <w:t>优化培训课程安排，控制培训时长和参训人数</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415.41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90.36%</w:t>
      </w:r>
      <w:r>
        <w:rPr>
          <w:rFonts w:hint="eastAsia" w:ascii="仿宋_GB2312" w:eastAsia="仿宋_GB2312"/>
          <w:sz w:val="28"/>
          <w:szCs w:val="28"/>
        </w:rPr>
        <w:t>。其中：</w:t>
      </w:r>
    </w:p>
    <w:p>
      <w:pPr>
        <w:autoSpaceDE w:val="0"/>
        <w:autoSpaceDN w:val="0"/>
        <w:adjustRightInd w:val="0"/>
        <w:spacing w:line="580" w:lineRule="exact"/>
        <w:ind w:firstLine="560"/>
        <w:jc w:val="left"/>
        <w:rPr>
          <w:rFonts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415.41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90.36%</w:t>
      </w:r>
      <w:r>
        <w:rPr>
          <w:rFonts w:hint="eastAsia" w:ascii="仿宋_GB2312" w:eastAsia="仿宋_GB2312"/>
          <w:sz w:val="28"/>
          <w:szCs w:val="28"/>
        </w:rPr>
        <w:t>。主要原因：</w:t>
      </w:r>
      <w:r>
        <w:rPr>
          <w:rFonts w:hint="eastAsia" w:ascii="仿宋_GB2312" w:eastAsia="仿宋_GB2312"/>
          <w:sz w:val="28"/>
          <w:szCs w:val="28"/>
          <w:lang w:eastAsia="zh-CN"/>
        </w:rPr>
        <w:t>人员数量变动导致经费支出减少。</w:t>
      </w:r>
    </w:p>
    <w:p>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269.76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。其中：</w:t>
      </w:r>
    </w:p>
    <w:p>
      <w:pPr>
        <w:autoSpaceDE w:val="0"/>
        <w:autoSpaceDN w:val="0"/>
        <w:adjustRightInd w:val="0"/>
        <w:spacing w:line="580" w:lineRule="exact"/>
        <w:ind w:left="0" w:leftChars="0" w:firstLine="560" w:firstLineChars="200"/>
        <w:jc w:val="left"/>
        <w:rPr>
          <w:rFonts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269.76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。主要原因：</w:t>
      </w:r>
      <w:r>
        <w:rPr>
          <w:rFonts w:hint="eastAsia" w:ascii="仿宋_GB2312" w:eastAsia="仿宋_GB2312"/>
          <w:sz w:val="28"/>
          <w:szCs w:val="28"/>
          <w:lang w:eastAsia="zh-CN"/>
        </w:rPr>
        <w:t>人员数量变动导致经费支出减少。</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五、政府性基金预算财政拨款支出决算情况说明</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六、国有资本经营预算财政拨款收支情况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3410.76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eastAsia="zh-CN"/>
        </w:rPr>
        <w:t>；</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15.41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37.1</w:t>
      </w:r>
      <w:r>
        <w:rPr>
          <w:rFonts w:hint="eastAsia" w:ascii="仿宋_GB2312" w:eastAsia="仿宋_GB2312"/>
          <w:sz w:val="28"/>
          <w:szCs w:val="28"/>
        </w:rPr>
        <w:t>万元减少</w:t>
      </w:r>
      <w:r>
        <w:rPr>
          <w:rFonts w:hint="eastAsia" w:ascii="仿宋_GB2312" w:eastAsia="仿宋_GB2312"/>
          <w:sz w:val="28"/>
          <w:szCs w:val="28"/>
          <w:lang w:val="en-US" w:eastAsia="zh-CN"/>
        </w:rPr>
        <w:t>21.69</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14.99</w:t>
      </w:r>
      <w:r>
        <w:rPr>
          <w:rFonts w:hint="eastAsia" w:ascii="仿宋_GB2312" w:eastAsia="仿宋_GB2312"/>
          <w:sz w:val="28"/>
          <w:szCs w:val="28"/>
        </w:rPr>
        <w:t>万元减少</w:t>
      </w:r>
      <w:r>
        <w:rPr>
          <w:rFonts w:hint="eastAsia" w:ascii="仿宋_GB2312" w:eastAsia="仿宋_GB2312"/>
          <w:sz w:val="28"/>
          <w:szCs w:val="28"/>
          <w:lang w:val="en-US" w:eastAsia="zh-CN"/>
        </w:rPr>
        <w:t>3.73</w:t>
      </w:r>
      <w:r>
        <w:rPr>
          <w:rFonts w:hint="eastAsia" w:ascii="仿宋_GB2312" w:eastAsia="仿宋_GB2312"/>
          <w:sz w:val="28"/>
          <w:szCs w:val="28"/>
        </w:rPr>
        <w:t>万元。主要原因：</w:t>
      </w:r>
      <w:r>
        <w:rPr>
          <w:rFonts w:hint="eastAsia" w:ascii="仿宋_GB2312" w:eastAsia="仿宋_GB2312"/>
          <w:sz w:val="28"/>
          <w:szCs w:val="28"/>
          <w:lang w:eastAsia="zh-CN"/>
        </w:rPr>
        <w:t>严格落实中央八项规定精神，严控</w:t>
      </w:r>
      <w:r>
        <w:rPr>
          <w:rFonts w:hint="eastAsia" w:ascii="仿宋_GB2312" w:eastAsia="仿宋_GB2312"/>
          <w:sz w:val="28"/>
          <w:szCs w:val="28"/>
        </w:rPr>
        <w:t>因公出国（境）费用</w:t>
      </w:r>
      <w:r>
        <w:rPr>
          <w:rFonts w:hint="eastAsia" w:ascii="仿宋_GB2312" w:eastAsia="仿宋_GB2312"/>
          <w:sz w:val="28"/>
          <w:szCs w:val="28"/>
          <w:lang w:eastAsia="zh-CN"/>
        </w:rPr>
        <w:t>规模</w:t>
      </w:r>
      <w:r>
        <w:rPr>
          <w:rFonts w:hint="eastAsia" w:ascii="仿宋_GB2312" w:eastAsia="仿宋_GB2312"/>
          <w:sz w:val="28"/>
          <w:szCs w:val="28"/>
        </w:rPr>
        <w:t>。</w:t>
      </w:r>
      <w:r>
        <w:rPr>
          <w:rFonts w:hint="eastAsia" w:ascii="仿宋_GB2312" w:eastAsia="仿宋_GB2312"/>
          <w:sz w:val="28"/>
          <w:szCs w:val="28"/>
          <w:lang w:val="en-US" w:eastAsia="zh-CN"/>
        </w:rPr>
        <w:t>2024年度因公出国（境）费用主要用于随团赴欧洲国家外出培训等事项，2024年度参加因公出国（境）团组2个、2人次。</w:t>
      </w:r>
    </w:p>
    <w:p>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0.95</w:t>
      </w:r>
      <w:r>
        <w:rPr>
          <w:rFonts w:hint="eastAsia" w:ascii="仿宋_GB2312" w:eastAsia="仿宋_GB2312"/>
          <w:sz w:val="28"/>
          <w:szCs w:val="28"/>
        </w:rPr>
        <w:t>万元减少0.95万元。主要原因：严格落实</w:t>
      </w:r>
      <w:r>
        <w:rPr>
          <w:rFonts w:hint="eastAsia" w:ascii="仿宋_GB2312" w:eastAsia="仿宋_GB2312"/>
          <w:sz w:val="28"/>
          <w:szCs w:val="28"/>
          <w:lang w:eastAsia="zh-CN"/>
        </w:rPr>
        <w:t>中央八项规定精神</w:t>
      </w:r>
      <w:r>
        <w:rPr>
          <w:rFonts w:hint="eastAsia" w:ascii="仿宋_GB2312" w:eastAsia="仿宋_GB2312"/>
          <w:sz w:val="28"/>
          <w:szCs w:val="28"/>
        </w:rPr>
        <w:t>，未开支</w:t>
      </w:r>
      <w:r>
        <w:rPr>
          <w:rFonts w:hint="eastAsia" w:ascii="仿宋_GB2312" w:eastAsia="仿宋_GB2312"/>
          <w:sz w:val="28"/>
          <w:szCs w:val="28"/>
          <w:lang w:eastAsia="zh-CN"/>
        </w:rPr>
        <w:t>公务</w:t>
      </w:r>
      <w:r>
        <w:rPr>
          <w:rFonts w:hint="eastAsia" w:ascii="仿宋_GB2312" w:eastAsia="仿宋_GB2312"/>
          <w:sz w:val="28"/>
          <w:szCs w:val="28"/>
        </w:rPr>
        <w:t>接待费。</w:t>
      </w:r>
      <w:r>
        <w:rPr>
          <w:rFonts w:hint="eastAsia" w:ascii="仿宋_GB2312" w:eastAsia="仿宋_GB2312"/>
          <w:sz w:val="28"/>
          <w:szCs w:val="28"/>
          <w:lang w:eastAsia="zh-CN"/>
        </w:rPr>
        <w:t>公务接待</w:t>
      </w:r>
      <w:r>
        <w:rPr>
          <w:rFonts w:hint="eastAsia" w:ascii="仿宋_GB2312" w:eastAsia="仿宋_GB2312"/>
          <w:sz w:val="28"/>
          <w:szCs w:val="28"/>
          <w:lang w:val="en-US" w:eastAsia="zh-CN"/>
        </w:rPr>
        <w:t>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4.16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21.15</w:t>
      </w:r>
      <w:r>
        <w:rPr>
          <w:rFonts w:hint="eastAsia" w:ascii="仿宋_GB2312" w:eastAsia="仿宋_GB2312"/>
          <w:sz w:val="28"/>
          <w:szCs w:val="28"/>
        </w:rPr>
        <w:t>万元减少</w:t>
      </w:r>
      <w:r>
        <w:rPr>
          <w:rFonts w:hint="eastAsia" w:ascii="仿宋_GB2312" w:eastAsia="仿宋_GB2312"/>
          <w:sz w:val="28"/>
          <w:szCs w:val="28"/>
          <w:lang w:val="en-US" w:eastAsia="zh-CN"/>
        </w:rPr>
        <w:t>16.99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无公务用车更新计划，202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w:t>
      </w:r>
      <w:r>
        <w:rPr>
          <w:rFonts w:hint="eastAsia" w:ascii="仿宋_GB2312" w:eastAsia="仿宋_GB2312"/>
          <w:sz w:val="28"/>
          <w:szCs w:val="28"/>
        </w:rPr>
        <w:t>更新</w:t>
      </w:r>
      <w:r>
        <w:rPr>
          <w:rFonts w:hint="eastAsia" w:ascii="仿宋_GB2312" w:eastAsia="仿宋_GB2312"/>
          <w:sz w:val="28"/>
          <w:szCs w:val="28"/>
          <w:lang w:eastAsia="zh-CN"/>
        </w:rPr>
        <w:t>）</w:t>
      </w:r>
      <w:r>
        <w:rPr>
          <w:rFonts w:hint="eastAsia" w:ascii="仿宋_GB2312" w:eastAsia="仿宋_GB2312"/>
          <w:sz w:val="28"/>
          <w:szCs w:val="28"/>
        </w:rPr>
        <w:t>0辆。公务用车运行维护费202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4.16</w:t>
      </w:r>
      <w:r>
        <w:rPr>
          <w:rFonts w:hint="eastAsia" w:ascii="仿宋_GB2312" w:eastAsia="仿宋_GB2312"/>
          <w:sz w:val="28"/>
          <w:szCs w:val="28"/>
        </w:rPr>
        <w:t>万元，主要原因：落实厉行勤俭节约要求，严格控制公务用车车均费用。202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年度公务用车保有量7辆。</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机关运行经费支出</w:t>
      </w:r>
      <w:r>
        <w:rPr>
          <w:rFonts w:hint="eastAsia" w:ascii="仿宋_GB2312" w:eastAsia="仿宋_GB2312"/>
          <w:sz w:val="28"/>
          <w:szCs w:val="28"/>
        </w:rPr>
        <w:t>合计</w:t>
      </w:r>
      <w:r>
        <w:rPr>
          <w:rFonts w:hint="eastAsia" w:ascii="仿宋_GB2312" w:eastAsia="仿宋_GB2312"/>
          <w:sz w:val="28"/>
          <w:szCs w:val="28"/>
          <w:lang w:val="en-US" w:eastAsia="zh-CN"/>
        </w:rPr>
        <w:t>212.62</w:t>
      </w:r>
      <w:r>
        <w:rPr>
          <w:rFonts w:hint="eastAsia" w:ascii="仿宋_GB2312" w:eastAsia="仿宋_GB2312"/>
          <w:sz w:val="28"/>
          <w:szCs w:val="28"/>
        </w:rPr>
        <w:t>万元，比上年202.71增加</w:t>
      </w:r>
      <w:r>
        <w:rPr>
          <w:rFonts w:hint="eastAsia" w:ascii="仿宋_GB2312" w:eastAsia="仿宋_GB2312"/>
          <w:sz w:val="28"/>
          <w:szCs w:val="28"/>
          <w:lang w:val="en-US" w:eastAsia="zh-CN"/>
        </w:rPr>
        <w:t>9.91</w:t>
      </w:r>
      <w:r>
        <w:rPr>
          <w:rFonts w:hint="eastAsia" w:ascii="仿宋_GB2312" w:eastAsia="仿宋_GB2312"/>
          <w:sz w:val="28"/>
          <w:szCs w:val="28"/>
        </w:rPr>
        <w:t>万元，增加原因：</w:t>
      </w:r>
      <w:r>
        <w:rPr>
          <w:rFonts w:hint="eastAsia" w:ascii="仿宋_GB2312" w:eastAsia="仿宋_GB2312"/>
          <w:sz w:val="28"/>
          <w:szCs w:val="28"/>
          <w:lang w:eastAsia="zh-CN"/>
        </w:rPr>
        <w:t>按照工作安排开展业务培训，导致机关运行经费较上年有所增加</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hint="eastAsia" w:ascii="仿宋_GB2312" w:eastAsia="仿宋_GB2312"/>
          <w:sz w:val="28"/>
          <w:szCs w:val="28"/>
          <w:lang w:val="en-US" w:eastAsia="zh-CN"/>
        </w:rPr>
        <w:t>202.08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2.84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199.24</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0.67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0.33</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0.67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0.33</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截至12月31日，市委编办</w:t>
      </w:r>
      <w:r>
        <w:rPr>
          <w:rFonts w:hint="eastAsia" w:ascii="仿宋_GB2312" w:eastAsia="仿宋_GB2312"/>
          <w:sz w:val="28"/>
          <w:szCs w:val="28"/>
          <w:lang w:eastAsia="zh-CN"/>
        </w:rPr>
        <w:t>（本级）</w:t>
      </w:r>
      <w:r>
        <w:rPr>
          <w:rFonts w:hint="eastAsia" w:ascii="仿宋_GB2312" w:eastAsia="仿宋_GB2312"/>
          <w:sz w:val="28"/>
          <w:szCs w:val="28"/>
        </w:rPr>
        <w:t>共有车辆7台；单位价值100万元（含）以上的设备0台（套）。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lang w:val="en-US" w:eastAsia="zh-CN"/>
        </w:rPr>
        <w:t>130.8</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一般公共服务支出（类）党委办公厅（室）及相关机构事务（款）行政运行（项）</w:t>
      </w:r>
      <w:r>
        <w:rPr>
          <w:rFonts w:hint="eastAsia" w:ascii="仿宋_GB2312" w:eastAsia="仿宋_GB2312"/>
          <w:sz w:val="28"/>
          <w:szCs w:val="28"/>
          <w:lang w:val="en-US" w:eastAsia="zh-CN"/>
        </w:rPr>
        <w:t>：反应行政单位（包括实行公务员管理的事业单位）的基本支出。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一般公共服务支出（类）党委办公厅（室）及相关机构事务（款）一般行政管理事务（项）</w:t>
      </w:r>
      <w:r>
        <w:rPr>
          <w:rFonts w:hint="eastAsia" w:ascii="仿宋_GB2312" w:eastAsia="仿宋_GB2312"/>
          <w:sz w:val="28"/>
          <w:szCs w:val="28"/>
          <w:lang w:val="en-US" w:eastAsia="zh-CN"/>
        </w:rPr>
        <w:t>：</w:t>
      </w:r>
      <w:r>
        <w:rPr>
          <w:rFonts w:hint="eastAsia" w:ascii="仿宋_GB2312" w:eastAsia="仿宋_GB2312"/>
          <w:sz w:val="28"/>
          <w:szCs w:val="28"/>
        </w:rPr>
        <w:t>反映行政单位（包括实行公务员管理的事业单位）未单独设置项级科目的其他项目支出。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教育支出（类）进修及培训（款）培训支出（项）</w:t>
      </w:r>
      <w:r>
        <w:rPr>
          <w:rFonts w:hint="eastAsia" w:ascii="仿宋_GB2312" w:eastAsia="仿宋_GB2312"/>
          <w:sz w:val="28"/>
          <w:szCs w:val="28"/>
          <w:lang w:val="en-US" w:eastAsia="zh-CN"/>
        </w:rPr>
        <w:t>：反应各部门安排的用于培训的支出。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行政单位离退休</w:t>
      </w:r>
      <w:r>
        <w:rPr>
          <w:rFonts w:hint="eastAsia" w:ascii="仿宋_GB2312" w:eastAsia="仿宋_GB2312"/>
          <w:sz w:val="28"/>
          <w:szCs w:val="28"/>
        </w:rPr>
        <w:t>（项）</w:t>
      </w:r>
      <w:r>
        <w:rPr>
          <w:rFonts w:hint="eastAsia" w:ascii="仿宋_GB2312" w:eastAsia="仿宋_GB2312"/>
          <w:sz w:val="28"/>
          <w:szCs w:val="28"/>
          <w:lang w:val="en-US" w:eastAsia="zh-CN"/>
        </w:rPr>
        <w:t>：反应行政单位（包括实行公务员管理的事业单位）开支的离退休经费。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w:t>
      </w:r>
      <w:r>
        <w:rPr>
          <w:rFonts w:hint="eastAsia" w:ascii="仿宋_GB2312" w:eastAsia="仿宋_GB2312"/>
          <w:sz w:val="28"/>
          <w:szCs w:val="28"/>
          <w:lang w:val="en-US" w:eastAsia="zh-CN"/>
        </w:rPr>
        <w:t>：反应机关事业单位实施养老保险制度由单位缴纳的基本养老保险费支出。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社会保障和就业支出（类）行政事业单位养老支出（款）机关事业单位职业年金缴费支出（项）</w:t>
      </w:r>
      <w:r>
        <w:rPr>
          <w:rFonts w:hint="eastAsia" w:ascii="仿宋_GB2312" w:eastAsia="仿宋_GB2312"/>
          <w:sz w:val="28"/>
          <w:szCs w:val="28"/>
          <w:lang w:val="en-US" w:eastAsia="zh-CN"/>
        </w:rPr>
        <w:t>：反应机关事业单位实施养老保险制度由单位缴纳的职业年金支出。</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卫生健康支出（类）行政事业单位医疗（款）行政单位医疗（项）</w:t>
      </w:r>
      <w:r>
        <w:rPr>
          <w:rFonts w:hint="eastAsia" w:ascii="仿宋_GB2312" w:eastAsia="仿宋_GB2312"/>
          <w:sz w:val="28"/>
          <w:szCs w:val="28"/>
          <w:lang w:val="en-US" w:eastAsia="zh-CN"/>
        </w:rPr>
        <w:t>：反应财政部门安排的行政单位（包括实行公务员管理的事业单位）基本医疗保险费经费。</w:t>
      </w:r>
    </w:p>
    <w:p>
      <w:pPr>
        <w:ind w:firstLine="560" w:firstLineChars="200"/>
        <w:rPr>
          <w:rFonts w:hint="eastAsia" w:ascii="仿宋_GB2312" w:eastAsia="仿宋_GB2312"/>
          <w:sz w:val="28"/>
          <w:szCs w:val="28"/>
        </w:rPr>
      </w:pPr>
    </w:p>
    <w:p>
      <w:pPr>
        <w:ind w:firstLine="632" w:firstLineChars="200"/>
        <w:rPr>
          <w:rFonts w:ascii="仿宋_GB2312" w:eastAsia="仿宋_GB2312"/>
          <w:b/>
          <w:color w:val="000000"/>
          <w:spacing w:val="-2"/>
          <w:sz w:val="32"/>
          <w:szCs w:val="32"/>
        </w:rPr>
      </w:pPr>
    </w:p>
    <w:p>
      <w:pPr>
        <w:ind w:firstLine="560" w:firstLineChars="200"/>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ind w:firstLine="640" w:firstLineChars="200"/>
        <w:jc w:val="center"/>
        <w:rPr>
          <w:rFonts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一、部门整体绩效评价报告（详见附件）</w:t>
      </w:r>
    </w:p>
    <w:p>
      <w:pPr>
        <w:ind w:firstLine="560" w:firstLineChars="200"/>
        <w:rPr>
          <w:rFonts w:ascii="黑体" w:eastAsia="黑体"/>
          <w:sz w:val="28"/>
          <w:szCs w:val="28"/>
        </w:rPr>
      </w:pPr>
      <w:r>
        <w:rPr>
          <w:rFonts w:hint="eastAsia" w:ascii="黑体" w:eastAsia="黑体"/>
          <w:sz w:val="28"/>
          <w:szCs w:val="28"/>
        </w:rPr>
        <w:t>二、项目支出绩效评价报告（详见附件）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ind w:firstLine="560"/>
      </w:pPr>
    </w:p>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7F28A"/>
    <w:multiLevelType w:val="singleLevel"/>
    <w:tmpl w:val="1A57F28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1D45"/>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D7420"/>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72CA"/>
    <w:rsid w:val="00701651"/>
    <w:rsid w:val="007049BF"/>
    <w:rsid w:val="00704E79"/>
    <w:rsid w:val="00707A26"/>
    <w:rsid w:val="0071120F"/>
    <w:rsid w:val="00716380"/>
    <w:rsid w:val="00722165"/>
    <w:rsid w:val="00723E2F"/>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47AC"/>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3E5B"/>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7703"/>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120"/>
    <w:rsid w:val="00FE1E51"/>
    <w:rsid w:val="00FE2496"/>
    <w:rsid w:val="00FE6A2B"/>
    <w:rsid w:val="00FF0275"/>
    <w:rsid w:val="00FF07B3"/>
    <w:rsid w:val="00FF1E37"/>
    <w:rsid w:val="01FF4B87"/>
    <w:rsid w:val="079004AC"/>
    <w:rsid w:val="0F8E2C57"/>
    <w:rsid w:val="1059665E"/>
    <w:rsid w:val="10AC13BA"/>
    <w:rsid w:val="10C63B66"/>
    <w:rsid w:val="128E78C4"/>
    <w:rsid w:val="196E2035"/>
    <w:rsid w:val="1AEC0734"/>
    <w:rsid w:val="1BFDA6D3"/>
    <w:rsid w:val="1DEF20B0"/>
    <w:rsid w:val="214243FA"/>
    <w:rsid w:val="22C06C83"/>
    <w:rsid w:val="24F5112A"/>
    <w:rsid w:val="257A14F5"/>
    <w:rsid w:val="27196C26"/>
    <w:rsid w:val="29EF086F"/>
    <w:rsid w:val="2A511D2C"/>
    <w:rsid w:val="2CF17465"/>
    <w:rsid w:val="2E987260"/>
    <w:rsid w:val="2EFFE297"/>
    <w:rsid w:val="301437CA"/>
    <w:rsid w:val="37126872"/>
    <w:rsid w:val="37381137"/>
    <w:rsid w:val="3BEFCA8A"/>
    <w:rsid w:val="3F6471A0"/>
    <w:rsid w:val="3FDFD438"/>
    <w:rsid w:val="433E495C"/>
    <w:rsid w:val="497938D4"/>
    <w:rsid w:val="4AC27CB3"/>
    <w:rsid w:val="4BF72BEF"/>
    <w:rsid w:val="4D9FDDD0"/>
    <w:rsid w:val="4DA0671F"/>
    <w:rsid w:val="4EBFEC23"/>
    <w:rsid w:val="4FFF8D5A"/>
    <w:rsid w:val="51DB3C59"/>
    <w:rsid w:val="55762E42"/>
    <w:rsid w:val="57A7B272"/>
    <w:rsid w:val="57F26845"/>
    <w:rsid w:val="57FDA4FD"/>
    <w:rsid w:val="58470068"/>
    <w:rsid w:val="5A1720F9"/>
    <w:rsid w:val="5B93DA50"/>
    <w:rsid w:val="5B9C37C2"/>
    <w:rsid w:val="5BA7C654"/>
    <w:rsid w:val="5CE694A5"/>
    <w:rsid w:val="5EEF27A0"/>
    <w:rsid w:val="5FA5CE8E"/>
    <w:rsid w:val="5FBF901E"/>
    <w:rsid w:val="5FCA5020"/>
    <w:rsid w:val="6342257E"/>
    <w:rsid w:val="641F29B5"/>
    <w:rsid w:val="64C0607C"/>
    <w:rsid w:val="653724A3"/>
    <w:rsid w:val="66BD016E"/>
    <w:rsid w:val="676F09E1"/>
    <w:rsid w:val="687F9483"/>
    <w:rsid w:val="6BFEB3A2"/>
    <w:rsid w:val="6BFFB6D5"/>
    <w:rsid w:val="70BBFA63"/>
    <w:rsid w:val="72592FAE"/>
    <w:rsid w:val="757E88A0"/>
    <w:rsid w:val="76DF94D0"/>
    <w:rsid w:val="76FFF4F0"/>
    <w:rsid w:val="7726306B"/>
    <w:rsid w:val="77EFFC89"/>
    <w:rsid w:val="79F3B824"/>
    <w:rsid w:val="7A7F1C49"/>
    <w:rsid w:val="7AEF65BB"/>
    <w:rsid w:val="7B5B7AE6"/>
    <w:rsid w:val="7B8B18B3"/>
    <w:rsid w:val="7BA7071E"/>
    <w:rsid w:val="7BBDC9A0"/>
    <w:rsid w:val="7BDF6DA8"/>
    <w:rsid w:val="7C7EDC1A"/>
    <w:rsid w:val="7CCED98D"/>
    <w:rsid w:val="7CFB9E58"/>
    <w:rsid w:val="7D08410F"/>
    <w:rsid w:val="7DB96DED"/>
    <w:rsid w:val="7DD3AD81"/>
    <w:rsid w:val="7EBDF138"/>
    <w:rsid w:val="7EDCFE67"/>
    <w:rsid w:val="7F0FE8E4"/>
    <w:rsid w:val="7F7FE70F"/>
    <w:rsid w:val="7F99643F"/>
    <w:rsid w:val="7FF58795"/>
    <w:rsid w:val="7FFE62FF"/>
    <w:rsid w:val="7FFF772F"/>
    <w:rsid w:val="89373FD8"/>
    <w:rsid w:val="8F77A015"/>
    <w:rsid w:val="95F35EF6"/>
    <w:rsid w:val="9BFFD860"/>
    <w:rsid w:val="9DBE451D"/>
    <w:rsid w:val="AC5F73DE"/>
    <w:rsid w:val="AF7FC5E3"/>
    <w:rsid w:val="AFEB1036"/>
    <w:rsid w:val="B57F9DC7"/>
    <w:rsid w:val="B5DDD2C8"/>
    <w:rsid w:val="B6347413"/>
    <w:rsid w:val="B7DF9506"/>
    <w:rsid w:val="B9DFABD9"/>
    <w:rsid w:val="BBBF3F86"/>
    <w:rsid w:val="BC0D83FC"/>
    <w:rsid w:val="BEF2A7E0"/>
    <w:rsid w:val="BF3BDEFB"/>
    <w:rsid w:val="BFA68B7B"/>
    <w:rsid w:val="C75F6086"/>
    <w:rsid w:val="C7F7ED2D"/>
    <w:rsid w:val="CFAF854E"/>
    <w:rsid w:val="CFF96954"/>
    <w:rsid w:val="D8D7928E"/>
    <w:rsid w:val="D8EF3B0A"/>
    <w:rsid w:val="D8FE3136"/>
    <w:rsid w:val="DB2760D8"/>
    <w:rsid w:val="DDD645D0"/>
    <w:rsid w:val="DDDE60B7"/>
    <w:rsid w:val="DE9F6A22"/>
    <w:rsid w:val="DF4FCE6A"/>
    <w:rsid w:val="E4FED278"/>
    <w:rsid w:val="E81F2BC5"/>
    <w:rsid w:val="EABB78E6"/>
    <w:rsid w:val="EDAA365C"/>
    <w:rsid w:val="EDADFC12"/>
    <w:rsid w:val="EDF7EF2F"/>
    <w:rsid w:val="EEE3AE9D"/>
    <w:rsid w:val="EF3FA3EC"/>
    <w:rsid w:val="EFAF5E84"/>
    <w:rsid w:val="EFCD233A"/>
    <w:rsid w:val="F29F498F"/>
    <w:rsid w:val="F2FD229B"/>
    <w:rsid w:val="F3FF7134"/>
    <w:rsid w:val="F7F709E9"/>
    <w:rsid w:val="F7FF3690"/>
    <w:rsid w:val="F9BD3900"/>
    <w:rsid w:val="FC8B9876"/>
    <w:rsid w:val="FD76AD34"/>
    <w:rsid w:val="FEDFF218"/>
    <w:rsid w:val="FEDFFFFF"/>
    <w:rsid w:val="FEF311BA"/>
    <w:rsid w:val="FEF7A433"/>
    <w:rsid w:val="FF9A93BD"/>
    <w:rsid w:val="FFBF1022"/>
    <w:rsid w:val="FFBFD3B7"/>
    <w:rsid w:val="FFDD7BC7"/>
    <w:rsid w:val="FFE74ACE"/>
    <w:rsid w:val="FFF59F7F"/>
    <w:rsid w:val="FFF771AD"/>
    <w:rsid w:val="FFFF3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paragraph" w:styleId="10">
    <w:name w:val="Body Text First Indent 2"/>
    <w:basedOn w:val="4"/>
    <w:unhideWhenUsed/>
    <w:qFormat/>
    <w:uiPriority w:val="99"/>
    <w:pPr>
      <w:ind w:firstLine="420" w:firstLineChars="200"/>
    </w:pPr>
    <w:rPr>
      <w:szCs w:val="22"/>
    </w:rPr>
  </w:style>
  <w:style w:type="character" w:styleId="13">
    <w:name w:val="Strong"/>
    <w:qFormat/>
    <w:uiPriority w:val="0"/>
    <w:rPr>
      <w:b/>
    </w:rPr>
  </w:style>
  <w:style w:type="character" w:styleId="14">
    <w:name w:val="page number"/>
    <w:qFormat/>
    <w:uiPriority w:val="0"/>
  </w:style>
  <w:style w:type="character" w:customStyle="1" w:styleId="15">
    <w:name w:val="页脚 字符"/>
    <w:link w:val="7"/>
    <w:qFormat/>
    <w:uiPriority w:val="0"/>
    <w:rPr>
      <w:rFonts w:eastAsia="宋体"/>
      <w:kern w:val="2"/>
      <w:sz w:val="18"/>
      <w:szCs w:val="18"/>
      <w:lang w:val="en-US" w:eastAsia="zh-CN" w:bidi="ar-SA"/>
    </w:rPr>
  </w:style>
  <w:style w:type="character" w:customStyle="1" w:styleId="16">
    <w:name w:val="页眉 字符"/>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3968.02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manualLayout>
          <c:xMode val="edge"/>
          <c:yMode val="edge"/>
          <c:x val="0.634576057888941"/>
          <c:y val="0.45350422688846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3410.76</c:v>
                </c:pt>
                <c:pt idx="1">
                  <c:v>375.41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3578</Words>
  <Characters>4146</Characters>
  <Lines>30</Lines>
  <Paragraphs>8</Paragraphs>
  <TotalTime>6</TotalTime>
  <ScaleCrop>false</ScaleCrop>
  <LinksUpToDate>false</LinksUpToDate>
  <CharactersWithSpaces>4168</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2017-07-20T07:16:00Z</dcterms:created>
  <dc:creator>常程</dc:creator>
  <cp:lastModifiedBy>张腾</cp:lastModifiedBy>
  <cp:lastPrinted>2020-08-16T03:39:00Z</cp:lastPrinted>
  <dcterms:modified xsi:type="dcterms:W3CDTF">2025-08-27T19:18:17Z</dcterms:modified>
  <dc:title>北京市财政局关于做好向市人大常委会报送2015年度市级部门决算（草案）</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1C721F3168BF18A0EDC9AB6822046BA5</vt:lpwstr>
  </property>
</Properties>
</file>